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</w:r>
    </w:p>
    <w:tbl>
      <w:tblPr>
        <w:tblW w:w="90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3"/>
      </w:tblGrid>
      <w:tr>
        <w:trPr>
          <w:trHeight w:val="6562" w:hRule="atLeast"/>
        </w:trPr>
        <w:tc>
          <w:tcPr>
            <w:tcW w:w="907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b/>
                <w:bCs/>
                <w:sz w:val="22"/>
                <w:szCs w:val="22"/>
              </w:rPr>
              <w:t>Regulamin rekrutacji i uczestnictwa w projekcie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b/>
                <w:bCs/>
                <w:sz w:val="22"/>
                <w:szCs w:val="22"/>
              </w:rPr>
              <w:t>pt. "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cs="Times New Roman" w:ascii="Palatino Linotype" w:hAnsi="Palatino Linotype"/>
                <w:b/>
                <w:bCs/>
                <w:sz w:val="22"/>
                <w:szCs w:val="22"/>
              </w:rPr>
              <w:t>Europa jest nam bliska, mobilność polsko - grecka”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b/>
                <w:bCs/>
                <w:sz w:val="22"/>
                <w:szCs w:val="22"/>
              </w:rPr>
              <w:t>nr 2021-2-PL01-KA122-SCH-000041996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współfinansowanego z Unii Europejskiej programu Erasmus +,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Akcja 1 Mobilność Edukacyjna, sektor Edukacja Szkolna, Konkurs 2021.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§ 1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Informacje o projekcie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1.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Niniejszy regulamin określa zakres warunków rekrutacji i uczestnictwa w projekcie</w:t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w ramach projektu pt. "Europa jest nam bliska, mobilność polsko - grecka” 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nr 2021-2-PL01-KA122-SCH-000041996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2.Beneficjentem projektu jest </w:t>
            </w:r>
            <w:bookmarkStart w:id="0" w:name="_Hlk98327723"/>
            <w:r>
              <w:rPr>
                <w:rFonts w:cs="Times New Roman" w:ascii="Palatino Linotype" w:hAnsi="Palatino Linotype"/>
                <w:sz w:val="22"/>
                <w:szCs w:val="22"/>
              </w:rPr>
              <w:t>Zespół Szkół Nr 1 w Hrubieszowie</w:t>
            </w:r>
            <w:bookmarkEnd w:id="0"/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, mieszczący się pod adresem: Zamojska 18 A, 22-500 Hrubieszów, </w:t>
            </w:r>
            <w:hyperlink r:id="rId2">
              <w:bookmarkStart w:id="1" w:name="_Hlk98327759"/>
              <w:r>
                <w:rPr>
                  <w:rStyle w:val="Czeinternetowe"/>
                  <w:rFonts w:ascii="Palatino Linotype" w:hAnsi="Palatino Linotype"/>
                  <w:sz w:val="22"/>
                  <w:szCs w:val="22"/>
                </w:rPr>
                <w:t>zs1.hrubieszow.aw@gmail.com</w:t>
              </w:r>
            </w:hyperlink>
            <w:bookmarkEnd w:id="1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zwany dalej ‘Organizacją wysyłającą’.  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3. Partnerem zagranicznym jest szkoł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a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 średni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a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 4th General Lyceum of Katerini, </w:t>
            </w:r>
            <w:r>
              <w:rPr>
                <w:rFonts w:cs="Calibri" w:ascii="Palatino Linotype" w:hAnsi="Palatino Linotype"/>
                <w:color w:val="000000"/>
                <w:sz w:val="22"/>
                <w:szCs w:val="22"/>
                <w:lang w:val="en-US"/>
              </w:rPr>
              <w:t xml:space="preserve">2, Mitropoleos street, 60131, Katerini,   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Grecja, </w:t>
            </w:r>
            <w:hyperlink r:id="rId3">
              <w:r>
                <w:rPr>
                  <w:rStyle w:val="Czeinternetowe"/>
                  <w:rFonts w:cs="Times New Roman" w:ascii="Palatino Linotype" w:hAnsi="Palatino Linotype"/>
                  <w:sz w:val="22"/>
                  <w:szCs w:val="22"/>
                </w:rPr>
                <w:t>projects@justhotelsitalia.eu</w:t>
              </w:r>
            </w:hyperlink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 zwana dalej ‘Organizacją przyjmującą’.</w:t>
            </w:r>
          </w:p>
          <w:p>
            <w:pPr>
              <w:pStyle w:val="HTMLPreformatted"/>
              <w:shd w:val="clear" w:color="auto" w:fill="FFFFFF"/>
              <w:spacing w:lineRule="atLeast" w:line="300"/>
              <w:jc w:val="both"/>
              <w:rPr>
                <w:rFonts w:ascii="Palatino Linotype" w:hAnsi="Palatino Linotype"/>
                <w:color w:val="222222"/>
                <w:sz w:val="22"/>
                <w:szCs w:val="22"/>
              </w:rPr>
            </w:pPr>
            <w:r>
              <w:rPr>
                <w:rFonts w:ascii="Palatino Linotype" w:hAnsi="Palatino Linotype"/>
                <w:color w:val="222222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4. Projekt realizowany będzie w okresie 01.01.2022 r. do 31.12.2022, a mobilność</w:t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edukacyjna –odbędę się 06.06.2022- 15.06.2022 r. dla 29 uczniów i 3 opiekunów.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5. Grupą docelową projektu jest 29 uczniów z klas II Technikum Zespołu Szkół Nr 1                          w Hrubieszowie.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6. Okres realizacji projektu trwa od 01.01.2022 r. do 31.12.2022 r.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7. Ogólny nadzór oraz rozstrzyganie spraw nieuregulowanych w niniejszym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Regulaminie należy do kompetencji Dyrektora Szkoły, który ponosi odpowiedzialność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za właściwą realizację Projektu.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§ 2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Główne cele projektu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1. </w:t>
            </w:r>
            <w:r>
              <w:rPr>
                <w:rFonts w:ascii="Palatino Linotype" w:hAnsi="Palatino Linotype"/>
                <w:sz w:val="22"/>
                <w:szCs w:val="22"/>
              </w:rPr>
              <w:t>Poszerzenie znajomości języka angielskiego wśród uczniów w zakresie komunikacji.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2. </w:t>
            </w:r>
            <w:r>
              <w:rPr>
                <w:rFonts w:ascii="Palatino Linotype" w:hAnsi="Palatino Linotype"/>
                <w:sz w:val="22"/>
                <w:szCs w:val="22"/>
              </w:rPr>
              <w:t>Wzbogacenie wartości europejskich – poszerzenie znajomości kultury i wiedzy o Unii Europejskiej.</w:t>
            </w:r>
          </w:p>
          <w:p>
            <w:pPr>
              <w:pStyle w:val="Normal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3.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Podniesienie wiedzy w zakresie ekologii i ochrony środowiska wśród młodzieży. 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§3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Uczestnictwo w projekcie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  <w:bookmarkStart w:id="2" w:name="_GoBack"/>
            <w:bookmarkStart w:id="3" w:name="_GoBack"/>
            <w:bookmarkEnd w:id="3"/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1. Uczestnikami projektu mogą być uczniowie Zespołu Szkół Nr 1 w Hrubieszowie w roku szkolnym 2021/2022. Projekt skierowany jest do 29 uczniów z klas II Technikum z Zespołu Szkół Nr 1 w Hrubieszowie.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2. Udział w projekcie jest całkowicie bezpłatny. Projekt realizowany jest na zasadach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programu Erasmus +.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3. Szczegółowe zasady uczestnictwa w projekcie zostaną zawarte w umowie pomiędzy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Uczestnikiem projektu, a Organizacją wysyłającą oraz załącznikach wiążących wszystkie</w:t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3 strony projektu. 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§ 4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Kryteria kwalifikacyjne</w:t>
            </w:r>
          </w:p>
          <w:p>
            <w:pPr>
              <w:pStyle w:val="Normal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Warunkiem uczestnictwa w projekcie jest: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a) wypełnienie dokumentów rekrutacyjnych do projektu m.in. formularza zgłoszeniowego oraz przystąpienie do rozmowy kwalifikacyjnej z członkiem Komisji Rekrutacyjnej </w:t>
            </w:r>
          </w:p>
          <w:p>
            <w:pPr>
              <w:pStyle w:val="Normal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b) zapoznanie się z regulaminem rekrutacji i uczestnictwa w projekcie 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(dostępny w sekretariacie szkoły i na stronie internetowej szkoły),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c) przystąpienie do niezbędnych wymogów rekrutacyjnych i uzyskanie pozytywnej kwalifikacji Komisji Rekrutacyjnej,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d) udział w zajęciach przygotowawczych językowo - kulturowo – pedagogicznych oraz wypełnienie przed ich rozpoczęciem niezbędnych ankiet i testów,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e) podpisanie przed wyjazdem na mobilność umowy wraz z załącznikami.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§ 4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Rekrutacja Uczestników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1. Rekrutacja do projektu przebiegać będzie zgodnie z założeniami ujętymi w projekcie,     z 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2. Rekrutację do uczestnictwa w projekcie przeprowadzi Komisja Rekrutacyjna w składzie: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Wicedyrektor Szkoły – Zbigniew Petruczynik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Nauczyciel j. angielskiego -  Aleksandra Pecyna - Łobocka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Pedagog szkolny – Monika Jabłońska</w:t>
            </w:r>
          </w:p>
          <w:p>
            <w:pPr>
              <w:pStyle w:val="Default"/>
              <w:ind w:left="360" w:hanging="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3. Komisja Rekrutacyjna działa zgodnie z niniejszym Regulaminem.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4. Z działań Komisji Rekrutacyjnej zostanie sporządzony protokół oraz listy rankingowe kandydatów zakwalifikowanych wraz z 5-osobowa listą rezerwową.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5. Terminarz rekrutacji uczniów (może ulec zmianie, w zależności od wyników konkursu):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przyjmowanie zgłoszeń kandydatów – 05.04.2022 – 12.04.2022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rozstrzygnięcie postępowania rekrutacyjnego – 12.04 – 13.04.2022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ogłoszenie wyników – 13.04.2022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procedura odwoławcza – 13.04 – 19.04.2022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ostateczne zatwierdzenie wyników rekrutacji – 19.04.2022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  <w:u w:val="single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  <w:u w:val="single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6. Proces rekrutacji poprzedzony będzie informacją na tablicy ogłoszeń, stronie internetowej szkoły oraz sekretariacie szkoły.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7. Uczeń zgłaszając swoją kandydaturę na wyjazd na zagraniczny powinien złożyć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w sekretariacie bądź u wychowawcy formularz zgłoszeniowy zgodny ze wzorem dostępnym w sekretariacie oraz na stronie internetowej Organizacji wysyłającej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wraz z niezbędnymi załącznikami.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8. W rekrutacji mogą brać udział uczniowie, którzy: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wyrażają chęć uczestnictwa w projekcie, </w:t>
            </w:r>
          </w:p>
          <w:p>
            <w:pPr>
              <w:pStyle w:val="Normal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uczą się w Technikum w Zespole Szkół nr 1 w Hrubieszowie,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pochodzą z rodzin dotkniętych trudną sytuacją ekonomiczną, rodzin dysfunkcyjnych, zamieszkujący tereny wiejskie, decyzją wychowawcy, dyrektora lub pedagoga szkolnego te osoby mogą uzyskać dodatkowe punkty w procesie rekrutacji,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uzyskali wysoką średnią za ostatni semestr kształcenia z przedmiotów zawodowych oraz języka angielskiego,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mieli wysoką frekwencję w ostatnim semestrze kształcenia,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wraz z formularzem zgłoszeniowym przystąpią do rozmowy rekrutacyjnej,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przystąpili do testu z języka angielskiego,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color w:val="auto"/>
                <w:sz w:val="22"/>
                <w:szCs w:val="22"/>
              </w:rPr>
              <w:t xml:space="preserve">- 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będą brali udział w spotkaniach przygotowujących do uczestnictwa do mobilności.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9. Podstawą kwalifikacji ucznia jest suma otrzymanych punktów wg poniższych zasad za: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Średnia ocen z przedmiotów zawodowych za ostatni semestr kształcenia (w skali 0-6 pkt.):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Poniżej 2,00 – 0 pkt.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2,01 – 2,50 – 0,5 pkt.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2,51 – 3,00 – 1 pkt.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3,01 – 3,50 – 2 pkt.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3,51 – 4,00 – 3 pkt.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4,01 – 4,50 – 4 pkt.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4,51 – 5,00 – 5 pkt. 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5,01 – 6,00 – 6 pkt. 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Ocena z języka angielskiego za ostatni semestr kształcenia (w skali 0-6 pkt.):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niedostateczny – 0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dopuszczająca – 2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dostateczna – 3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dobra – 4 pkt.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bardzo dobra – 5 pkt. 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celująca – 6 pkt.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Frekwencja na zajęciach – za ostatni semestr (w skali 0-10 pkt.)::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do 60% – 2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61 – 70% – 4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71 – 80% – 6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81 – 90% – 8 pkt.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91 – 100% – 10 pkt.</w:t>
            </w:r>
          </w:p>
          <w:p>
            <w:pPr>
              <w:pStyle w:val="Default"/>
              <w:ind w:left="720" w:hanging="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Test z języka angielskiego: od 0 do 10 pkt.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Rozmowa rekrutacyjna z członkiem Komisji rekrutacyjnej od 0 do 10 punktów.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Dodatkowe 5 punktów za tzw. ‘mniejsze szanse’ decyzją dyrektora/wychowawcy/pedagoga szkolnego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Kandydat może uzyskać maksymalnie 47 punktów.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10. Suma zdobytych punktów decyduje o miejscu kandydata na liście. Spośród wszystkich kandydatów komisja rekrutacyjna wybierze osoby z największą ilością punktów.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Na podstawie sumy uzyskanych punktów komisja sporządzi dwie listy uczniów (główną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i rezerwową). W przypadku zdarzenia losowego lub niezdyscyplinowanego zachowania się przed wyjazdem (nieobecności na zajęciach, spotkaniach informacyjnych) przez ucznia umieszczonego na liście głównej, zostanie on wykluczony z wyjazdu zagranicznego,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a prawo do tego wyjazdu uzyska osoba z listy rezerwowej z zachowaniem ustalonej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na niej kolejności. W przypadku uzyskania jednakowej liczby punktów o kolejności kandydatów na listach decyduje średnia ocen z przedmiotów zawodowych.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11. W przypadku zbyt małej liczby uczestników rekrutacja może zostać wznowiona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w dowolnym momencie trwania projektu.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12. Decyzja komisji rekrutacyjnej i przygotowanie ostatecznej listy uczestników projektu oraz listy rezerwowej zostanie ogłoszona 19.04.2022 r.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13. Lista uczestników zakwalifikowanych do projektu wraz z listą rezerwową zostanie zamieszczona na tablicy ogłoszeń i sekretariacie Szkoły.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14. Do wyników rekrutacji przeprowadzonej przez Komisję Rekrutacyjną kandydat ma prawo odwołać się od decyzji w przeciągu 7 dni od daty ich ogłoszenia do dyrektora szkoły. 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15. Zakwalifikowani kandydaci do projektu uczestniczą we wszystkich zajęciach przygotowujących do wyjazdu na mobilność zagraniczną. Dwie nieusprawiedliwione nieobecności dyskwalifikują kandydata do udziału w projekcie. Jego miejsce zajmuje pierwsza osoba z listy rezerwowej.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16. Uczniowie potwierdzają udział w projekcie na zebraniu z rodzicami i koordynatorem projektu.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17. Uczniowie i ich rodzice (w przypadku osób niepełnoletnich) podpisują przed wyjazdem na umowę wraz z załącznikami.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§ 5 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Zasady organizacji zajęć przygotowawczych 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1. Zajęcia w ramach przygotowania językowego, kulturowego, pedagogicznego zorganizowane będą w siedzibie Szkoły. 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2. Zajęcia językowe odbywać się będą w wymiarze 16 godzin lekcyjnych.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3. Zajęcia kulturowe z elementami podstaw języka greckiego odbędą się w wymiarze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5 godzin lekcyjnych.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4. Zajęcia psychologiczno-pedagogiczne z elementami BHP w wymiarze 5 godzin.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5. Uczestnictwo w zajęciach jest obowiązkowe.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6. Osoby zakwalifikowane do udziału w projekcie mają obowiązek punktualnie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i regularnie uczestniczyć w organizowanych zajęciach.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7. Zaległości spowodowane nieobecnością na zajęciach uczestnik ma obowiązek uzupełnić we własnym zakresie lub w formie indywidualnych konsultacji z nauczycielem prowadzącym kurs.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8. Każdą nieobecność na zajęciach należy usprawiedliwić u prowadzących zajęcia.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9. Dopuszczalna liczba nieobecności na zajęciach nie może przekroczyć 20% ogółu godzin.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10. W przypadku skreślenia ucznia z listy uczestników kursu, jego miejsce zajmie osoba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z listy rezerwowej.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11. Z zajęć przygotowawczych sporządzone zostaną listy obecności wraz z tematem, datą, podpisem ucznia oraz nauczyciela prowadzącego.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§ 6 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Obowiązki Uczestników projektu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W trakcie i po mobilności uczeń zobowiązuje się: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dołożyć wszelkich starań do realizacji w całości programu mobilności.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ściśle przestrzegać regulaminu projektu pod rygorem wykluczenia z uczestnictwa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w projekcie.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codziennie punktualnie przybywać na zajęcia.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realizować zadania zlecone przez opiekuna projektu.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uczestniczyć w programie kulturowym organizowanym podczas mobilności.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na bieżąco informować opiekuna/nauczyciela przebywającego z uczniami w trakcie mobilności wszelkich nieprawidłowościach mających wpływ na realizację projektu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i stopień satysfakcji uczestnika.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- wypełniać ankiety jakościowe dotyczące satysfakcji uczniów z uczestnictwa w projekcie. 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- ewentualna rezygnacja ucznia z udziału w projekcie musi zostać złożona w formie pisemnej, a w przypadku ucznia niepełnoletniego przez jego rodziców/opiekunów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i zaakceptowana przez organizację wysyłającą. </w:t>
            </w:r>
          </w:p>
          <w:p>
            <w:pPr>
              <w:pStyle w:val="Defaul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§ 7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>Postanowienia końcowe</w:t>
            </w:r>
          </w:p>
          <w:p>
            <w:pPr>
              <w:pStyle w:val="Default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cs="Times New Roman" w:ascii="Palatino Linotype" w:hAnsi="Palatino Linotype"/>
                <w:sz w:val="22"/>
                <w:szCs w:val="22"/>
              </w:rPr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color w:val="auto"/>
                <w:sz w:val="22"/>
                <w:szCs w:val="22"/>
              </w:rPr>
              <w:t>1.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 Ogólny nadzór oraz rozstrzyganie spraw nieuregulowanych w niniejszym Regulaminie należy do kompetencji Koordynatora projektu, który ponosi odpowiedzialność za właściwą realizację 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p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rojektu.</w:t>
            </w:r>
          </w:p>
          <w:p>
            <w:pPr>
              <w:pStyle w:val="Default"/>
              <w:rPr/>
            </w:pPr>
            <w:r>
              <w:rPr>
                <w:rFonts w:cs="Times New Roman" w:ascii="Palatino Linotype" w:hAnsi="Palatino Linotype"/>
                <w:sz w:val="22"/>
                <w:szCs w:val="22"/>
              </w:rPr>
              <w:t xml:space="preserve">2. Regulamin wchodzi w życie z dniem rozpoczęcia 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p</w:t>
            </w:r>
            <w:r>
              <w:rPr>
                <w:rFonts w:cs="Times New Roman" w:ascii="Palatino Linotype" w:hAnsi="Palatino Linotype"/>
                <w:sz w:val="22"/>
                <w:szCs w:val="22"/>
              </w:rPr>
              <w:t>rojektu.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283" w:top="195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7392" w:leader="none"/>
        <w:tab w:val="right" w:pos="9072" w:leader="none"/>
      </w:tabs>
      <w:rPr/>
    </w:pPr>
    <w:bookmarkStart w:id="4" w:name="_Hlk98328442"/>
    <w:bookmarkStart w:id="5" w:name="_Hlk98328443"/>
    <w:r>
      <w:drawing>
        <wp:anchor behindDoc="0" distT="0" distB="0" distL="114300" distR="114300" simplePos="0" locked="0" layoutInCell="1" allowOverlap="1" relativeHeight="6">
          <wp:simplePos x="0" y="0"/>
          <wp:positionH relativeFrom="margin">
            <wp:posOffset>4919980</wp:posOffset>
          </wp:positionH>
          <wp:positionV relativeFrom="paragraph">
            <wp:posOffset>125095</wp:posOffset>
          </wp:positionV>
          <wp:extent cx="1283970" cy="735965"/>
          <wp:effectExtent l="0" t="0" r="0" b="0"/>
          <wp:wrapTight wrapText="bothSides">
            <wp:wrapPolygon edited="0">
              <wp:start x="8154" y="0"/>
              <wp:lineTo x="4611" y="313"/>
              <wp:lineTo x="-202" y="5332"/>
              <wp:lineTo x="-202" y="13174"/>
              <wp:lineTo x="2249" y="17566"/>
              <wp:lineTo x="2249" y="18194"/>
              <wp:lineTo x="6155" y="20389"/>
              <wp:lineTo x="6882" y="20860"/>
              <wp:lineTo x="13968" y="20860"/>
              <wp:lineTo x="14604" y="20389"/>
              <wp:lineTo x="19418" y="17566"/>
              <wp:lineTo x="21054" y="12077"/>
              <wp:lineTo x="21054" y="5959"/>
              <wp:lineTo x="15876" y="313"/>
              <wp:lineTo x="12605" y="0"/>
              <wp:lineTo x="8154" y="0"/>
            </wp:wrapPolygon>
          </wp:wrapTight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1471930</wp:posOffset>
          </wp:positionH>
          <wp:positionV relativeFrom="paragraph">
            <wp:posOffset>191770</wp:posOffset>
          </wp:positionV>
          <wp:extent cx="3371850" cy="602615"/>
          <wp:effectExtent l="0" t="0" r="0" b="0"/>
          <wp:wrapSquare wrapText="bothSides"/>
          <wp:docPr id="2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6">
          <wp:simplePos x="0" y="0"/>
          <wp:positionH relativeFrom="column">
            <wp:posOffset>-518795</wp:posOffset>
          </wp:positionH>
          <wp:positionV relativeFrom="paragraph">
            <wp:posOffset>258445</wp:posOffset>
          </wp:positionV>
          <wp:extent cx="1800225" cy="447675"/>
          <wp:effectExtent l="0" t="0" r="0" b="0"/>
          <wp:wrapSquare wrapText="bothSides"/>
          <wp:docPr id="3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1">
          <wp:simplePos x="0" y="0"/>
          <wp:positionH relativeFrom="column">
            <wp:posOffset>1386205</wp:posOffset>
          </wp:positionH>
          <wp:positionV relativeFrom="paragraph">
            <wp:posOffset>210820</wp:posOffset>
          </wp:positionV>
          <wp:extent cx="3371850" cy="602615"/>
          <wp:effectExtent l="0" t="0" r="0" b="0"/>
          <wp:wrapSquare wrapText="bothSides"/>
          <wp:docPr id="4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</w:t>
      <w:tab/>
    </w:r>
    <w:bookmarkEnd w:id="4"/>
    <w:bookmarkEnd w:id="5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a9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87a9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7a98"/>
    <w:rPr/>
  </w:style>
  <w:style w:type="character" w:styleId="TekstdymkaZnak" w:customStyle="1">
    <w:name w:val="Tekst dymka Znak"/>
    <w:link w:val="Tekstdymka"/>
    <w:uiPriority w:val="99"/>
    <w:semiHidden/>
    <w:qFormat/>
    <w:rsid w:val="00387a98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qFormat/>
    <w:rsid w:val="00387a98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7a98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7a98"/>
    <w:rPr>
      <w:vertAlign w:val="superscript"/>
    </w:rPr>
  </w:style>
  <w:style w:type="character" w:styleId="Czeinternetowe">
    <w:name w:val="Łącze internetowe"/>
    <w:uiPriority w:val="99"/>
    <w:unhideWhenUsed/>
    <w:rsid w:val="00387a98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e0956"/>
    <w:rPr>
      <w:color w:val="605E5C"/>
      <w:shd w:fill="E1DFDD" w:val="clear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4134e2"/>
    <w:rPr>
      <w:rFonts w:ascii="Courier New" w:hAnsi="Courier New" w:eastAsia="Times New Roman" w:cs="Courier New"/>
    </w:rPr>
  </w:style>
  <w:style w:type="character" w:styleId="Il" w:customStyle="1">
    <w:name w:val="il"/>
    <w:basedOn w:val="DefaultParagraphFont"/>
    <w:qFormat/>
    <w:rsid w:val="004134e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Palatino Linotype" w:hAnsi="Palatino Linotype"/>
      <w:sz w:val="22"/>
      <w:szCs w:val="22"/>
    </w:rPr>
  </w:style>
  <w:style w:type="character" w:styleId="ListLabel38">
    <w:name w:val="ListLabel 38"/>
    <w:qFormat/>
    <w:rPr>
      <w:rFonts w:ascii="Palatino Linotype" w:hAnsi="Palatino Linotype" w:cs="Times New Roman"/>
      <w:sz w:val="22"/>
      <w:szCs w:val="22"/>
    </w:rPr>
  </w:style>
  <w:style w:type="character" w:styleId="ListLabel39">
    <w:name w:val="ListLabel 39"/>
    <w:qFormat/>
    <w:rPr>
      <w:rFonts w:ascii="Palatino Linotype" w:hAnsi="Palatino Linotype" w:cs="Symbol"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Palatino Linotype" w:hAnsi="Palatino Linotype" w:cs="Symbol"/>
      <w:sz w:val="22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Palatino Linotype" w:hAnsi="Palatino Linotype" w:cs="Symbol"/>
      <w:sz w:val="22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Palatino Linotype" w:hAnsi="Palatino Linotype" w:cs="Symbol"/>
      <w:sz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Palatino Linotype" w:hAnsi="Palatino Linotype"/>
      <w:sz w:val="22"/>
      <w:szCs w:val="22"/>
    </w:rPr>
  </w:style>
  <w:style w:type="character" w:styleId="ListLabel76">
    <w:name w:val="ListLabel 76"/>
    <w:qFormat/>
    <w:rPr>
      <w:rFonts w:ascii="Palatino Linotype" w:hAnsi="Palatino Linotype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87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7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7a98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unhideWhenUsed/>
    <w:rsid w:val="00387a98"/>
    <w:pPr/>
    <w:rPr>
      <w:sz w:val="20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7a98"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c1548c"/>
    <w:pPr>
      <w:spacing w:before="0" w:after="0"/>
      <w:ind w:left="720" w:hanging="0"/>
      <w:contextualSpacing/>
    </w:pPr>
    <w:rPr>
      <w:szCs w:val="21"/>
    </w:rPr>
  </w:style>
  <w:style w:type="paragraph" w:styleId="Default" w:customStyle="1">
    <w:name w:val="Default"/>
    <w:qFormat/>
    <w:rsid w:val="0071598a"/>
    <w:pPr>
      <w:widowControl/>
      <w:bidi w:val="0"/>
      <w:jc w:val="left"/>
    </w:pPr>
    <w:rPr>
      <w:rFonts w:ascii="Symbol" w:hAnsi="Symbol" w:eastAsia="Calibri" w:cs="Symbol"/>
      <w:color w:val="000000"/>
      <w:kern w:val="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4134e2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1.hrubieszow.aw@gmail.com" TargetMode="External"/><Relationship Id="rId3" Type="http://schemas.openxmlformats.org/officeDocument/2006/relationships/hyperlink" Target="mailto:projects@justhotelsitalia.e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6884-501A-4AE7-AE4A-0089AD25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LibreOffice/6.2.5.2$Windows_X86_64 LibreOffice_project/1ec314fa52f458adc18c4f025c545a4e8b22c159</Application>
  <Pages>5</Pages>
  <Words>1392</Words>
  <Characters>8901</Characters>
  <CharactersWithSpaces>10270</CharactersWithSpaces>
  <Paragraphs>145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2022-04-03T18:27:00Z</dcterms:created>
  <dc:creator>daria zyga</dc:creator>
  <dc:description/>
  <dc:language>pl-PL</dc:language>
  <cp:lastModifiedBy/>
  <cp:lastPrinted>2022-04-03T18:41:00Z</cp:lastPrinted>
  <dcterms:modified xsi:type="dcterms:W3CDTF">2022-04-03T21:43:06Z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7ac17d96-ae9f-4a06-bd85-c1f048bf9c63_ActionId">
    <vt:lpwstr>1b42d555-e9d3-4b06-9a93-3c81658d8f24</vt:lpwstr>
  </property>
  <property fmtid="{D5CDD505-2E9C-101B-9397-08002B2CF9AE}" pid="8" name="MSIP_Label_7ac17d96-ae9f-4a06-bd85-c1f048bf9c63_ContentBits">
    <vt:lpwstr>0</vt:lpwstr>
  </property>
  <property fmtid="{D5CDD505-2E9C-101B-9397-08002B2CF9AE}" pid="9" name="MSIP_Label_7ac17d96-ae9f-4a06-bd85-c1f048bf9c63_Enabled">
    <vt:lpwstr>true</vt:lpwstr>
  </property>
  <property fmtid="{D5CDD505-2E9C-101B-9397-08002B2CF9AE}" pid="10" name="MSIP_Label_7ac17d96-ae9f-4a06-bd85-c1f048bf9c63_Method">
    <vt:lpwstr>Standard</vt:lpwstr>
  </property>
  <property fmtid="{D5CDD505-2E9C-101B-9397-08002B2CF9AE}" pid="11" name="MSIP_Label_7ac17d96-ae9f-4a06-bd85-c1f048bf9c63_Name">
    <vt:lpwstr>C1 - Standard (Internals)</vt:lpwstr>
  </property>
  <property fmtid="{D5CDD505-2E9C-101B-9397-08002B2CF9AE}" pid="12" name="MSIP_Label_7ac17d96-ae9f-4a06-bd85-c1f048bf9c63_SetDate">
    <vt:lpwstr>2022-03-16T09:45:39Z</vt:lpwstr>
  </property>
  <property fmtid="{D5CDD505-2E9C-101B-9397-08002B2CF9AE}" pid="13" name="MSIP_Label_7ac17d96-ae9f-4a06-bd85-c1f048bf9c63_SiteId">
    <vt:lpwstr>9f9d6315-bfeb-44e0-a998-39eae439fbc8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